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 xml:space="preserve">集贤县审计局 </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2018年度部门决算</w:t>
      </w:r>
      <w:bookmarkStart w:id="0" w:name="_GoBack"/>
      <w:bookmarkEnd w:id="0"/>
      <w:r>
        <w:rPr>
          <w:rFonts w:hint="eastAsia" w:ascii="仿宋" w:hAnsi="仿宋" w:eastAsia="仿宋" w:cs="仿宋"/>
          <w:b/>
          <w:bCs/>
          <w:sz w:val="44"/>
          <w:szCs w:val="44"/>
          <w:lang w:val="en-US" w:eastAsia="zh-CN"/>
        </w:rPr>
        <w:t>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三、部门决算编报范围及</w:t>
      </w:r>
      <w:r>
        <w:rPr>
          <w:rFonts w:hint="eastAsia" w:ascii="仿宋" w:hAnsi="仿宋" w:eastAsia="仿宋" w:cs="仿宋"/>
          <w:sz w:val="32"/>
          <w:szCs w:val="32"/>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部门职责</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（一）贯彻实施国家有关审计工作的方针政策和法律法规，制定全县审计工作规划和专业领域审计工作规划并组织实施。</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（二）负责对本级预算执行情况、预算外资金的管理和使用情况进行审计监督，向县人民政府和上一级审计机关提出审计结果报告。并受县人民政府委托向县人大常委会提出审计工作报告。</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（三）负责对乡镇级政府预算执行情况和决算，以及预算外资金的管理和使用情况，进行审计监督。</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（四）负责对与本县人民政府财政部门直接发生预算缴款、拨款关系的国家机关、政党组织和社会团体、企业、事业单位财政财务收支活动，进行审计监督。</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（五）负责对机关、事业单位和社会团体为履行政府职能，按照国家有关规定收取、提取和安排使用的未纳入预算管理的财政性资金、基金，进行审计监督。</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（六）负责根据上级审计机关的安排或授权，对国有金融、保险机构和地方金融机构的资产、负债、损益，进行审计监督。</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（七）负责对县属重点国有企业或国有资本占控股地位的国有企业的资产、负债和损益，进行审计监督。</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rPr>
        <w:t>（八）负责对县政府或以县政府投资为主的</w:t>
      </w:r>
      <w:r>
        <w:rPr>
          <w:rFonts w:hint="eastAsia" w:ascii="仿宋" w:hAnsi="仿宋" w:eastAsia="仿宋" w:cs="仿宋"/>
          <w:sz w:val="30"/>
          <w:szCs w:val="30"/>
          <w:shd w:val="clear" w:color="auto" w:fill="FFFFFF"/>
        </w:rPr>
        <w:t>建设项目决算情况，进行审计监督。</w:t>
      </w:r>
      <w:r>
        <w:rPr>
          <w:rFonts w:ascii="仿宋" w:hAnsi="仿宋" w:eastAsia="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（九）</w:t>
      </w:r>
      <w:r>
        <w:rPr>
          <w:rFonts w:hint="eastAsia" w:ascii="仿宋" w:hAnsi="仿宋" w:eastAsia="仿宋" w:cs="仿宋"/>
          <w:sz w:val="30"/>
          <w:szCs w:val="30"/>
          <w:shd w:val="clear" w:color="auto" w:fill="FFFFFF"/>
        </w:rPr>
        <w:t>对国际组织和外国政府援助、贷款项目的财务收支，经上级审计机关授权，进行审计监督。</w:t>
      </w:r>
      <w:r>
        <w:rPr>
          <w:rFonts w:ascii="仿宋" w:hAnsi="仿宋" w:eastAsia="仿宋"/>
          <w:sz w:val="30"/>
          <w:szCs w:val="30"/>
        </w:rPr>
        <w:br w:type="textWrapping"/>
      </w:r>
      <w:r>
        <w:rPr>
          <w:rFonts w:ascii="仿宋" w:hAnsi="仿宋" w:eastAsia="仿宋" w:cs="仿宋"/>
          <w:sz w:val="30"/>
          <w:szCs w:val="30"/>
        </w:rPr>
        <w:t xml:space="preserve">   </w:t>
      </w:r>
      <w:r>
        <w:rPr>
          <w:rFonts w:hint="eastAsia" w:ascii="仿宋" w:hAnsi="仿宋" w:eastAsia="仿宋" w:cs="仿宋"/>
          <w:sz w:val="30"/>
          <w:szCs w:val="30"/>
        </w:rPr>
        <w:t>（十）负责</w:t>
      </w:r>
      <w:r>
        <w:rPr>
          <w:rFonts w:hint="eastAsia" w:ascii="仿宋" w:hAnsi="仿宋" w:eastAsia="仿宋" w:cs="仿宋"/>
          <w:sz w:val="30"/>
          <w:szCs w:val="30"/>
          <w:shd w:val="clear" w:color="auto" w:fill="FFFFFF"/>
        </w:rPr>
        <w:t>对政府部门管理的和社会团体受政府委托管理的社会保障基金、社会保险基金、社会福利基金、扶贫资金、救灾救济资金、社会捐赠资金以及其他有关基金、资金的财务收支，进行审计监督。</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（十一）负责受组织、人事部门的委托，对县级以下行政、事业、企业的领导干部，进行经济责任审计。</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（十二）负责对审计中发现的宏观管理方面的问题，进行专项审计调查，向县人民政府提出审计建议。</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（十三）负责对县直属各部门，国有金融机构和企业事业组织的内部审计机构，进行业务指导和监督。</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十四）负责对审计事项作出评价，出具审计意见；对违反国家规定的财政财务收支行为，需要依法给予处理处罚的，在法定职权范围内作出处理、处罚的审计决定或者向有关主管机关提出处理处罚意见；对涉嫌违纪违法的，及时移送纪检监察机关、司法机关查处。</w:t>
      </w:r>
    </w:p>
    <w:p>
      <w:pPr>
        <w:spacing w:line="360" w:lineRule="auto"/>
        <w:ind w:firstLine="600" w:firstLineChars="200"/>
        <w:rPr>
          <w:rFonts w:ascii="仿宋" w:hAnsi="仿宋" w:eastAsia="仿宋"/>
          <w:sz w:val="30"/>
          <w:szCs w:val="30"/>
          <w:shd w:val="clear" w:color="auto" w:fill="FFFFFF"/>
        </w:rPr>
      </w:pPr>
      <w:r>
        <w:rPr>
          <w:rFonts w:hint="eastAsia" w:ascii="仿宋" w:hAnsi="仿宋" w:eastAsia="仿宋" w:cs="仿宋"/>
          <w:sz w:val="30"/>
          <w:szCs w:val="30"/>
          <w:shd w:val="clear" w:color="auto" w:fill="FFFFFF"/>
        </w:rPr>
        <w:t>（十五）配合纪检监察机关、司法机关查处经济案件。</w:t>
      </w:r>
    </w:p>
    <w:p>
      <w:pPr>
        <w:spacing w:line="360" w:lineRule="auto"/>
        <w:ind w:firstLine="600" w:firstLineChars="200"/>
        <w:rPr>
          <w:rFonts w:hint="eastAsia" w:ascii="仿宋" w:hAnsi="仿宋" w:eastAsia="仿宋" w:cs="仿宋"/>
          <w:b/>
          <w:bCs/>
          <w:sz w:val="32"/>
          <w:szCs w:val="32"/>
          <w:lang w:val="en-US" w:eastAsia="zh-CN"/>
        </w:rPr>
      </w:pPr>
      <w:r>
        <w:rPr>
          <w:rFonts w:hint="eastAsia" w:ascii="仿宋" w:hAnsi="仿宋" w:eastAsia="仿宋" w:cs="仿宋"/>
          <w:sz w:val="30"/>
          <w:szCs w:val="30"/>
          <w:shd w:val="clear" w:color="auto" w:fill="FFFFFF"/>
        </w:rPr>
        <w:t>（十六）完成县政府及上级业务部门交办的其他工作。</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机构设置</w:t>
      </w:r>
    </w:p>
    <w:p>
      <w:pPr>
        <w:spacing w:line="360" w:lineRule="auto"/>
        <w:ind w:firstLine="600" w:firstLineChars="200"/>
        <w:rPr>
          <w:rFonts w:ascii="仿宋" w:hAnsi="仿宋" w:eastAsia="仿宋"/>
          <w:sz w:val="30"/>
          <w:szCs w:val="30"/>
        </w:rPr>
      </w:pPr>
      <w:r>
        <w:rPr>
          <w:rFonts w:hint="eastAsia" w:ascii="仿宋" w:hAnsi="仿宋" w:eastAsia="仿宋" w:cs="仿宋"/>
          <w:sz w:val="30"/>
          <w:szCs w:val="30"/>
        </w:rPr>
        <w:t>集贤县审计局设</w:t>
      </w:r>
      <w:r>
        <w:rPr>
          <w:rFonts w:ascii="仿宋" w:hAnsi="仿宋" w:eastAsia="仿宋" w:cs="仿宋"/>
          <w:sz w:val="30"/>
          <w:szCs w:val="30"/>
        </w:rPr>
        <w:t>7</w:t>
      </w:r>
      <w:r>
        <w:rPr>
          <w:rFonts w:hint="eastAsia" w:ascii="仿宋" w:hAnsi="仿宋" w:eastAsia="仿宋" w:cs="仿宋"/>
          <w:sz w:val="30"/>
          <w:szCs w:val="30"/>
        </w:rPr>
        <w:t>个内设机构，有办公室、法制审理室、资源与农业审计股、财政与金融审计股、固定资产投资审计股、工交经贸审计股、行政事业审计股。</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lang w:val="en-US" w:eastAsia="zh-CN"/>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8</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的单位有1个，为集贤县审计局。2018年末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20</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23人，其中：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23</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，离休人员</w:t>
      </w:r>
      <w:r>
        <w:rPr>
          <w:rFonts w:hint="eastAsia" w:ascii="仿宋" w:hAnsi="仿宋" w:eastAsia="仿宋" w:cs="仿宋"/>
          <w:color w:val="auto"/>
          <w:sz w:val="30"/>
          <w:szCs w:val="30"/>
          <w:highlight w:val="none"/>
          <w:lang w:val="en-US" w:eastAsia="zh-CN"/>
        </w:rPr>
        <w:t>0人</w:t>
      </w:r>
      <w:r>
        <w:rPr>
          <w:rFonts w:hint="eastAsia" w:ascii="仿宋" w:hAnsi="仿宋" w:eastAsia="仿宋" w:cs="仿宋"/>
          <w:color w:val="auto"/>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kern w:val="0"/>
          <w:sz w:val="30"/>
          <w:szCs w:val="30"/>
          <w:u w:val="none"/>
          <w:lang w:eastAsia="zh-CN"/>
        </w:rPr>
        <w:t>2018年</w:t>
      </w:r>
      <w:r>
        <w:rPr>
          <w:rFonts w:hint="eastAsia" w:ascii="仿宋" w:hAnsi="仿宋" w:eastAsia="仿宋" w:cs="仿宋"/>
          <w:kern w:val="0"/>
          <w:sz w:val="30"/>
          <w:szCs w:val="30"/>
          <w:u w:val="none"/>
        </w:rPr>
        <w:t>度部门决算</w:t>
      </w:r>
      <w:r>
        <w:rPr>
          <w:rFonts w:hint="eastAsia" w:ascii="仿宋" w:hAnsi="仿宋" w:eastAsia="仿宋" w:cs="仿宋"/>
          <w:kern w:val="0"/>
          <w:sz w:val="30"/>
          <w:szCs w:val="30"/>
          <w:u w:val="none"/>
          <w:lang w:eastAsia="zh-CN"/>
        </w:rPr>
        <w:t>收、支总计</w:t>
      </w:r>
      <w:r>
        <w:rPr>
          <w:rFonts w:hint="eastAsia" w:ascii="仿宋" w:hAnsi="仿宋" w:eastAsia="仿宋" w:cs="仿宋"/>
          <w:kern w:val="0"/>
          <w:sz w:val="30"/>
          <w:szCs w:val="30"/>
          <w:u w:val="none"/>
          <w:lang w:val="en-US" w:eastAsia="zh-CN"/>
        </w:rPr>
        <w:t>272.85万元，其中：</w:t>
      </w:r>
      <w:r>
        <w:rPr>
          <w:rFonts w:hint="eastAsia" w:ascii="仿宋" w:hAnsi="仿宋" w:eastAsia="仿宋" w:cs="仿宋"/>
          <w:kern w:val="0"/>
          <w:sz w:val="30"/>
          <w:szCs w:val="30"/>
          <w:u w:val="none"/>
        </w:rPr>
        <w:t>本年收入</w:t>
      </w:r>
      <w:r>
        <w:rPr>
          <w:rFonts w:hint="eastAsia" w:ascii="仿宋" w:hAnsi="仿宋" w:eastAsia="仿宋" w:cs="仿宋"/>
          <w:kern w:val="0"/>
          <w:sz w:val="30"/>
          <w:szCs w:val="30"/>
          <w:u w:val="none"/>
          <w:lang w:val="en-US" w:eastAsia="zh-CN"/>
        </w:rPr>
        <w:t>254.94</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17.91</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本年支出</w:t>
      </w:r>
      <w:r>
        <w:rPr>
          <w:rFonts w:hint="eastAsia" w:ascii="仿宋" w:hAnsi="仿宋" w:eastAsia="仿宋" w:cs="仿宋"/>
          <w:kern w:val="0"/>
          <w:sz w:val="30"/>
          <w:szCs w:val="30"/>
          <w:u w:val="none"/>
          <w:lang w:val="en-US" w:eastAsia="zh-CN"/>
        </w:rPr>
        <w:t>250.36</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22.49</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均减少</w:t>
      </w:r>
      <w:r>
        <w:rPr>
          <w:rFonts w:hint="eastAsia" w:ascii="仿宋" w:hAnsi="仿宋" w:eastAsia="仿宋" w:cs="仿宋"/>
          <w:sz w:val="30"/>
          <w:szCs w:val="30"/>
          <w:highlight w:val="none"/>
          <w:lang w:val="en-US" w:eastAsia="zh-CN"/>
        </w:rPr>
        <w:t>54.31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16.6%</w:t>
      </w:r>
      <w:r>
        <w:rPr>
          <w:rFonts w:hint="eastAsia" w:ascii="仿宋" w:hAnsi="仿宋" w:eastAsia="仿宋" w:cs="仿宋"/>
          <w:sz w:val="30"/>
          <w:szCs w:val="30"/>
          <w:highlight w:val="none"/>
        </w:rPr>
        <w:t>。主要</w:t>
      </w:r>
      <w:r>
        <w:rPr>
          <w:rFonts w:hint="eastAsia" w:ascii="仿宋" w:hAnsi="仿宋" w:eastAsia="仿宋" w:cs="仿宋"/>
          <w:sz w:val="30"/>
          <w:szCs w:val="30"/>
        </w:rPr>
        <w:t>原因：</w:t>
      </w:r>
      <w:r>
        <w:rPr>
          <w:rFonts w:hint="eastAsia" w:ascii="仿宋" w:hAnsi="仿宋" w:eastAsia="仿宋" w:cs="仿宋"/>
          <w:sz w:val="30"/>
          <w:szCs w:val="30"/>
          <w:lang w:val="en-US" w:eastAsia="zh-CN"/>
        </w:rPr>
        <w:t>支出减少</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254.94</w:t>
      </w:r>
      <w:r>
        <w:rPr>
          <w:rFonts w:hint="eastAsia" w:ascii="仿宋" w:hAnsi="仿宋" w:eastAsia="仿宋" w:cs="仿宋"/>
          <w:sz w:val="30"/>
          <w:szCs w:val="30"/>
        </w:rPr>
        <w:t>万元，</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20.1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7.3</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val="en-US" w:eastAsia="zh-CN"/>
        </w:rPr>
        <w:t>财政拨款收入减少</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248.31</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97.3</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 xml:space="preserve"> 0万元，占0%；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6.63</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2.7</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250.36</w:t>
      </w:r>
      <w:r>
        <w:rPr>
          <w:rFonts w:hint="eastAsia" w:ascii="仿宋" w:hAnsi="仿宋" w:eastAsia="仿宋" w:cs="仿宋"/>
          <w:sz w:val="30"/>
          <w:szCs w:val="30"/>
        </w:rPr>
        <w:t>万元，</w:t>
      </w:r>
      <w:r>
        <w:rPr>
          <w:rFonts w:hint="eastAsia" w:ascii="仿宋" w:hAnsi="仿宋" w:eastAsia="仿宋" w:cs="仿宋"/>
          <w:sz w:val="30"/>
          <w:szCs w:val="30"/>
          <w:lang w:val="en-US" w:eastAsia="zh-CN"/>
        </w:rPr>
        <w:t>与2017年度相比，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58.89</w:t>
      </w:r>
      <w:r>
        <w:rPr>
          <w:rFonts w:hint="eastAsia" w:ascii="仿宋" w:hAnsi="仿宋" w:eastAsia="仿宋" w:cs="仿宋"/>
          <w:sz w:val="30"/>
          <w:szCs w:val="30"/>
          <w:highlight w:val="none"/>
        </w:rPr>
        <w:t>万元</w:t>
      </w:r>
      <w:r>
        <w:rPr>
          <w:rFonts w:hint="eastAsia" w:ascii="仿宋" w:hAnsi="仿宋" w:eastAsia="仿宋" w:cs="仿宋"/>
          <w:sz w:val="30"/>
          <w:szCs w:val="30"/>
        </w:rPr>
        <w:t>，</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19.0</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val="en-US" w:eastAsia="zh-CN"/>
        </w:rPr>
        <w:t>审计支出减少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243.01</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97.1</w:t>
      </w:r>
      <w:r>
        <w:rPr>
          <w:rFonts w:hint="eastAsia" w:ascii="仿宋" w:hAnsi="仿宋" w:eastAsia="仿宋" w:cs="仿宋"/>
          <w:sz w:val="30"/>
          <w:szCs w:val="30"/>
        </w:rPr>
        <w:t>%；项目支出</w:t>
      </w:r>
      <w:r>
        <w:rPr>
          <w:rFonts w:hint="eastAsia" w:ascii="仿宋" w:hAnsi="仿宋" w:eastAsia="仿宋" w:cs="仿宋"/>
          <w:sz w:val="30"/>
          <w:szCs w:val="30"/>
          <w:lang w:val="en-US" w:eastAsia="zh-CN"/>
        </w:rPr>
        <w:t>7.35</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2.9</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yellow"/>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248.31</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相比，财政拨款收、支总计各</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35.38</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12.5</w:t>
      </w:r>
      <w:r>
        <w:rPr>
          <w:rFonts w:hint="eastAsia" w:ascii="仿宋" w:hAnsi="仿宋" w:eastAsia="仿宋" w:cs="仿宋"/>
          <w:color w:val="auto"/>
          <w:sz w:val="30"/>
          <w:szCs w:val="30"/>
          <w:highlight w:val="none"/>
        </w:rPr>
        <w:t>%。主要原因：</w:t>
      </w:r>
      <w:r>
        <w:rPr>
          <w:rFonts w:hint="eastAsia" w:ascii="仿宋" w:hAnsi="仿宋" w:eastAsia="仿宋" w:cs="仿宋"/>
          <w:color w:val="auto"/>
          <w:sz w:val="30"/>
          <w:szCs w:val="30"/>
          <w:highlight w:val="none"/>
          <w:lang w:val="en-US" w:eastAsia="zh-CN"/>
        </w:rPr>
        <w:t>审计费用减少</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248.31</w:t>
      </w:r>
      <w:r>
        <w:rPr>
          <w:rFonts w:hint="eastAsia" w:ascii="仿宋" w:hAnsi="仿宋" w:eastAsia="仿宋" w:cs="仿宋"/>
          <w:sz w:val="30"/>
          <w:szCs w:val="30"/>
        </w:rPr>
        <w:t>万元，</w:t>
      </w:r>
      <w:r>
        <w:rPr>
          <w:rFonts w:hint="eastAsia" w:ascii="仿宋" w:hAnsi="仿宋" w:eastAsia="仿宋" w:cs="仿宋"/>
          <w:sz w:val="30"/>
          <w:szCs w:val="30"/>
          <w:lang w:eastAsia="zh-CN"/>
        </w:rPr>
        <w:t>与</w:t>
      </w:r>
      <w:r>
        <w:rPr>
          <w:rFonts w:hint="eastAsia" w:ascii="仿宋" w:hAnsi="仿宋" w:eastAsia="仿宋" w:cs="仿宋"/>
          <w:sz w:val="30"/>
          <w:szCs w:val="30"/>
          <w:lang w:val="en-US" w:eastAsia="zh-CN"/>
        </w:rPr>
        <w:t>2017年决算数相比，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 xml:space="preserve"> 35.38万元，</w:t>
      </w:r>
      <w:r>
        <w:rPr>
          <w:rFonts w:hint="eastAsia" w:ascii="仿宋" w:hAnsi="仿宋" w:eastAsia="仿宋" w:cs="仿宋"/>
          <w:sz w:val="30"/>
          <w:szCs w:val="30"/>
          <w:lang w:eastAsia="zh-CN"/>
        </w:rPr>
        <w:t>下降</w:t>
      </w:r>
      <w:r>
        <w:rPr>
          <w:rFonts w:hint="eastAsia" w:ascii="仿宋" w:hAnsi="仿宋" w:eastAsia="仿宋" w:cs="仿宋"/>
          <w:sz w:val="30"/>
          <w:szCs w:val="30"/>
          <w:lang w:val="en-US" w:eastAsia="zh-CN"/>
        </w:rPr>
        <w:t>12.5</w:t>
      </w:r>
      <w:r>
        <w:rPr>
          <w:rFonts w:hint="eastAsia" w:ascii="仿宋" w:hAnsi="仿宋" w:eastAsia="仿宋" w:cs="仿宋"/>
          <w:sz w:val="30"/>
          <w:szCs w:val="30"/>
        </w:rPr>
        <w:t>%，</w:t>
      </w:r>
      <w:r>
        <w:rPr>
          <w:rFonts w:hint="eastAsia" w:ascii="仿宋" w:hAnsi="仿宋" w:eastAsia="仿宋" w:cs="仿宋"/>
          <w:sz w:val="30"/>
          <w:szCs w:val="30"/>
          <w:lang w:eastAsia="zh-CN"/>
        </w:rPr>
        <w:t>主要原因是</w:t>
      </w:r>
      <w:r>
        <w:rPr>
          <w:rFonts w:hint="eastAsia" w:ascii="仿宋" w:hAnsi="仿宋" w:eastAsia="仿宋" w:cs="仿宋"/>
          <w:sz w:val="30"/>
          <w:szCs w:val="30"/>
          <w:lang w:val="en-US" w:eastAsia="zh-CN"/>
        </w:rPr>
        <w:t xml:space="preserve">人员工资调整等。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248.31</w:t>
      </w:r>
      <w:r>
        <w:rPr>
          <w:rFonts w:hint="eastAsia" w:ascii="仿宋" w:hAnsi="仿宋" w:eastAsia="仿宋" w:cs="仿宋"/>
          <w:sz w:val="30"/>
          <w:szCs w:val="30"/>
        </w:rPr>
        <w:t>万元，主要用于以下方面：</w:t>
      </w:r>
      <w:r>
        <w:rPr>
          <w:rFonts w:hint="eastAsia" w:ascii="仿宋" w:hAnsi="仿宋" w:eastAsia="仿宋" w:cs="仿宋"/>
          <w:sz w:val="30"/>
          <w:szCs w:val="30"/>
          <w:highlight w:val="none"/>
        </w:rPr>
        <w:t>一般公共服务支出（</w:t>
      </w:r>
      <w:r>
        <w:rPr>
          <w:rFonts w:hint="eastAsia" w:ascii="仿宋" w:hAnsi="仿宋" w:eastAsia="仿宋" w:cs="仿宋"/>
          <w:sz w:val="30"/>
          <w:szCs w:val="30"/>
          <w:highlight w:val="none"/>
          <w:lang w:val="en-US" w:eastAsia="zh-CN"/>
        </w:rPr>
        <w:t>类</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201.72</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81.2</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类</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29.61</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11.9%；</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16.98</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6.8</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度一般公共预算财政拨款支出年初预算为</w:t>
      </w:r>
      <w:r>
        <w:rPr>
          <w:rFonts w:hint="eastAsia" w:ascii="仿宋" w:hAnsi="仿宋" w:eastAsia="仿宋" w:cs="仿宋"/>
          <w:sz w:val="30"/>
          <w:szCs w:val="30"/>
          <w:lang w:val="en-US" w:eastAsia="zh-CN"/>
        </w:rPr>
        <w:t>277.25</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248.31</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89.6%</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1、一般公共服务支出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审计事务</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行政运行</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182.77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194.37万元 ，完成年初预算的106.4%</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审计事务费用增加</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一般行政管理事务</w:t>
      </w:r>
      <w:r>
        <w:rPr>
          <w:rFonts w:hint="eastAsia" w:ascii="仿宋" w:hAnsi="仿宋" w:eastAsia="仿宋" w:cs="仿宋"/>
          <w:sz w:val="30"/>
          <w:szCs w:val="30"/>
          <w:highlight w:val="none"/>
        </w:rPr>
        <w:t>（项）</w:t>
      </w: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 xml:space="preserve">7.35万元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审计专项资金增加</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lang w:val="en-US" w:eastAsia="zh-CN"/>
        </w:rPr>
        <w:t>社会保障和就业支出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行政事业单位离退休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未归口管理的行政单位离退休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77.5</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29.61万元 ，完成年初预算的38.2%</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离退休人员调整，工资变动</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3、住房保障支出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住房改革支出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住房公积金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16.98</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16.98万元 ，完成年初预算的100%</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度一般公共预算财政拨款基本支出</w:t>
      </w:r>
      <w:r>
        <w:rPr>
          <w:rFonts w:hint="eastAsia" w:ascii="仿宋" w:hAnsi="仿宋" w:eastAsia="仿宋" w:cs="仿宋"/>
          <w:sz w:val="30"/>
          <w:szCs w:val="30"/>
          <w:lang w:val="en-US" w:eastAsia="zh-CN"/>
        </w:rPr>
        <w:t>240.96</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213.24</w:t>
      </w:r>
      <w:r>
        <w:rPr>
          <w:rFonts w:hint="eastAsia" w:ascii="仿宋" w:hAnsi="仿宋" w:eastAsia="仿宋" w:cs="仿宋"/>
          <w:sz w:val="30"/>
          <w:szCs w:val="30"/>
        </w:rPr>
        <w:t>万元，主要包括：基本工资、津贴补贴、奖金、</w:t>
      </w:r>
      <w:r>
        <w:rPr>
          <w:rFonts w:hint="eastAsia" w:ascii="仿宋" w:hAnsi="仿宋" w:eastAsia="仿宋" w:cs="仿宋"/>
          <w:sz w:val="30"/>
          <w:szCs w:val="30"/>
          <w:lang w:eastAsia="zh-CN"/>
        </w:rPr>
        <w:t>住房公积金、医疗费、</w:t>
      </w:r>
      <w:r>
        <w:rPr>
          <w:rFonts w:hint="eastAsia" w:ascii="仿宋" w:hAnsi="仿宋" w:eastAsia="仿宋" w:cs="仿宋"/>
          <w:sz w:val="30"/>
          <w:szCs w:val="30"/>
        </w:rPr>
        <w:t>退休费、其他对个人和家庭的补助支出；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27.72</w:t>
      </w:r>
      <w:r>
        <w:rPr>
          <w:rFonts w:hint="eastAsia" w:ascii="仿宋" w:hAnsi="仿宋" w:eastAsia="仿宋" w:cs="仿宋"/>
          <w:sz w:val="30"/>
          <w:szCs w:val="30"/>
        </w:rPr>
        <w:t>万元，主要包括：办公费、手续费</w:t>
      </w:r>
      <w:r>
        <w:rPr>
          <w:rFonts w:hint="eastAsia" w:ascii="仿宋" w:hAnsi="仿宋" w:eastAsia="仿宋" w:cs="仿宋"/>
          <w:sz w:val="30"/>
          <w:szCs w:val="30"/>
          <w:lang w:eastAsia="zh-CN"/>
        </w:rPr>
        <w:t>、</w:t>
      </w:r>
      <w:r>
        <w:rPr>
          <w:rFonts w:hint="eastAsia" w:ascii="仿宋" w:hAnsi="仿宋" w:eastAsia="仿宋" w:cs="仿宋"/>
          <w:sz w:val="30"/>
          <w:szCs w:val="30"/>
        </w:rPr>
        <w:t>电费、邮电费、取暖费、差旅费、维修（护）费、福利费</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度“三公”经费财政拨款支出</w:t>
      </w:r>
      <w:r>
        <w:rPr>
          <w:rFonts w:hint="eastAsia" w:ascii="仿宋" w:hAnsi="仿宋" w:eastAsia="仿宋" w:cs="仿宋"/>
          <w:sz w:val="30"/>
          <w:szCs w:val="30"/>
          <w:lang w:eastAsia="zh-CN"/>
        </w:rPr>
        <w:t>决算</w:t>
      </w:r>
      <w:r>
        <w:rPr>
          <w:rFonts w:hint="eastAsia" w:ascii="仿宋" w:hAnsi="仿宋" w:eastAsia="仿宋" w:cs="仿宋"/>
          <w:sz w:val="30"/>
          <w:szCs w:val="30"/>
        </w:rPr>
        <w:t>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。年初预算为0 万元</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0"/>
          <w:szCs w:val="30"/>
        </w:rPr>
        <w:t>因公出国（境）费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w:t>
      </w:r>
      <w:r>
        <w:rPr>
          <w:rFonts w:hint="eastAsia" w:ascii="仿宋" w:hAnsi="仿宋" w:eastAsia="仿宋" w:cs="仿宋"/>
          <w:sz w:val="30"/>
          <w:szCs w:val="30"/>
          <w:lang w:val="en-US" w:eastAsia="zh-CN"/>
        </w:rPr>
        <w:t>。</w:t>
      </w:r>
      <w:r>
        <w:rPr>
          <w:rFonts w:hint="eastAsia" w:ascii="仿宋" w:hAnsi="仿宋" w:eastAsia="仿宋" w:cs="仿宋"/>
          <w:sz w:val="30"/>
          <w:szCs w:val="30"/>
        </w:rPr>
        <w:t>决算数小于预算数的主要原因：无</w:t>
      </w:r>
      <w:r>
        <w:rPr>
          <w:rFonts w:hint="eastAsia" w:ascii="仿宋" w:hAnsi="仿宋" w:eastAsia="仿宋" w:cs="仿宋"/>
          <w:sz w:val="30"/>
          <w:szCs w:val="30"/>
          <w:lang w:eastAsia="zh-CN"/>
        </w:rPr>
        <w:t>；与上年决算相比，增加（减少）</w:t>
      </w:r>
      <w:r>
        <w:rPr>
          <w:rFonts w:hint="eastAsia" w:ascii="仿宋" w:hAnsi="仿宋" w:eastAsia="仿宋" w:cs="仿宋"/>
          <w:sz w:val="30"/>
          <w:szCs w:val="30"/>
          <w:lang w:val="en-US" w:eastAsia="zh-CN"/>
        </w:rPr>
        <w:t>0万元，增长（下降）0%，主要原因是无；</w:t>
      </w:r>
      <w:r>
        <w:rPr>
          <w:rFonts w:hint="eastAsia" w:ascii="仿宋" w:hAnsi="仿宋" w:eastAsia="仿宋" w:cs="仿宋"/>
          <w:sz w:val="30"/>
          <w:szCs w:val="30"/>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b/>
          <w:bCs/>
          <w:sz w:val="30"/>
          <w:szCs w:val="30"/>
        </w:rPr>
        <w:t>公务用车购置及运行费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主要原因是 无；公务用车购置数0辆，</w:t>
      </w:r>
      <w:r>
        <w:rPr>
          <w:rFonts w:hint="eastAsia" w:ascii="仿宋" w:hAnsi="仿宋" w:eastAsia="仿宋" w:cs="仿宋"/>
          <w:sz w:val="30"/>
          <w:szCs w:val="30"/>
        </w:rPr>
        <w:t>公务用车保有量</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公务接待费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主要原因是无。</w:t>
      </w:r>
      <w:r>
        <w:rPr>
          <w:rFonts w:hint="eastAsia" w:ascii="仿宋" w:hAnsi="仿宋" w:eastAsia="仿宋" w:cs="仿宋"/>
          <w:sz w:val="30"/>
          <w:szCs w:val="30"/>
        </w:rPr>
        <w:t>其中：国内公务接待费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val="en-US" w:eastAsia="zh-CN"/>
        </w:rPr>
        <w:t>0</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widowControl/>
        <w:spacing w:line="360" w:lineRule="auto"/>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本年度没有政府性基金收入，也没有使用政府性基金安排的支出。与上年一致。</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val="0"/>
          <w:bCs w:val="0"/>
          <w:sz w:val="32"/>
          <w:szCs w:val="32"/>
          <w:highlight w:val="none"/>
          <w:lang w:val="en-US" w:eastAsia="zh-CN"/>
        </w:rPr>
        <w:t>2018年度没有20万元以上项目、政府购买公共服务项目和市级以上专项，故没有开展绩效评价工作。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2018年度</w:t>
      </w:r>
      <w:r>
        <w:rPr>
          <w:rFonts w:hint="eastAsia" w:ascii="仿宋" w:hAnsi="仿宋" w:eastAsia="仿宋" w:cs="仿宋"/>
          <w:color w:val="auto"/>
          <w:sz w:val="30"/>
          <w:szCs w:val="30"/>
          <w:highlight w:val="none"/>
        </w:rPr>
        <w:t>机关运行经费支出</w:t>
      </w:r>
      <w:r>
        <w:rPr>
          <w:rFonts w:hint="eastAsia" w:ascii="仿宋" w:hAnsi="仿宋" w:eastAsia="仿宋" w:cs="仿宋"/>
          <w:color w:val="auto"/>
          <w:sz w:val="30"/>
          <w:szCs w:val="30"/>
          <w:highlight w:val="none"/>
          <w:lang w:val="en-US" w:eastAsia="zh-CN"/>
        </w:rPr>
        <w:t>27.72</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较年初预算增加</w:t>
      </w:r>
      <w:r>
        <w:rPr>
          <w:rFonts w:hint="eastAsia" w:ascii="仿宋" w:hAnsi="仿宋" w:eastAsia="仿宋" w:cs="仿宋"/>
          <w:color w:val="auto"/>
          <w:sz w:val="30"/>
          <w:szCs w:val="30"/>
          <w:highlight w:val="none"/>
          <w:lang w:val="en-US" w:eastAsia="zh-CN"/>
        </w:rPr>
        <w:t>1.59万元，增长6.1%，主要原因审计费用增加；</w:t>
      </w:r>
      <w:r>
        <w:rPr>
          <w:rFonts w:hint="eastAsia" w:ascii="仿宋" w:hAnsi="仿宋" w:eastAsia="仿宋" w:cs="仿宋"/>
          <w:color w:val="auto"/>
          <w:sz w:val="30"/>
          <w:szCs w:val="30"/>
          <w:highlight w:val="none"/>
          <w:lang w:eastAsia="zh-CN"/>
        </w:rPr>
        <w:t>较上年决算减少</w:t>
      </w:r>
      <w:r>
        <w:rPr>
          <w:rFonts w:hint="eastAsia" w:ascii="仿宋" w:hAnsi="仿宋" w:eastAsia="仿宋" w:cs="仿宋"/>
          <w:color w:val="auto"/>
          <w:sz w:val="30"/>
          <w:szCs w:val="30"/>
          <w:highlight w:val="none"/>
          <w:lang w:val="en-US" w:eastAsia="zh-CN"/>
        </w:rPr>
        <w:t>1.1</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同比增长</w:t>
      </w:r>
      <w:r>
        <w:rPr>
          <w:rFonts w:hint="eastAsia" w:ascii="仿宋" w:hAnsi="仿宋" w:eastAsia="仿宋" w:cs="仿宋"/>
          <w:color w:val="auto"/>
          <w:sz w:val="30"/>
          <w:szCs w:val="30"/>
          <w:highlight w:val="none"/>
          <w:lang w:val="en-US" w:eastAsia="zh-CN"/>
        </w:rPr>
        <w:t>3.8</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本部门政府采购支出总额</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2018年</w:t>
      </w:r>
      <w:r>
        <w:rPr>
          <w:rFonts w:hint="eastAsia" w:ascii="仿宋" w:hAnsi="仿宋" w:eastAsia="仿宋" w:cs="仿宋"/>
          <w:sz w:val="30"/>
          <w:szCs w:val="30"/>
        </w:rPr>
        <w:t>12月31日，本部门共有车辆</w:t>
      </w:r>
      <w:r>
        <w:rPr>
          <w:rFonts w:hint="eastAsia" w:ascii="仿宋" w:hAnsi="仿宋" w:eastAsia="仿宋" w:cs="仿宋"/>
          <w:sz w:val="30"/>
          <w:szCs w:val="30"/>
          <w:lang w:val="en-US" w:eastAsia="zh-CN"/>
        </w:rPr>
        <w:t>0</w:t>
      </w:r>
      <w:r>
        <w:rPr>
          <w:rFonts w:hint="eastAsia" w:ascii="仿宋" w:hAnsi="仿宋" w:eastAsia="仿宋" w:cs="仿宋"/>
          <w:sz w:val="30"/>
          <w:szCs w:val="30"/>
        </w:rPr>
        <w:t>辆，其中</w:t>
      </w:r>
      <w:r>
        <w:rPr>
          <w:rFonts w:hint="eastAsia" w:ascii="仿宋" w:hAnsi="仿宋" w:eastAsia="仿宋" w:cs="仿宋"/>
          <w:sz w:val="30"/>
          <w:szCs w:val="30"/>
          <w:lang w:val="en-US" w:eastAsia="zh-CN"/>
        </w:rPr>
        <w:t>：</w:t>
      </w:r>
      <w:r>
        <w:rPr>
          <w:rFonts w:hint="eastAsia" w:ascii="仿宋" w:hAnsi="仿宋" w:eastAsia="仿宋" w:cs="仿宋"/>
          <w:sz w:val="30"/>
          <w:szCs w:val="30"/>
        </w:rPr>
        <w:t>副部（省）级及以上领导用车</w:t>
      </w:r>
      <w:r>
        <w:rPr>
          <w:rFonts w:hint="eastAsia" w:ascii="仿宋" w:hAnsi="仿宋" w:eastAsia="仿宋" w:cs="仿宋"/>
          <w:sz w:val="30"/>
          <w:szCs w:val="30"/>
          <w:lang w:val="en-US" w:eastAsia="zh-CN"/>
        </w:rPr>
        <w:t>0</w:t>
      </w:r>
      <w:r>
        <w:rPr>
          <w:rFonts w:hint="eastAsia" w:ascii="仿宋" w:hAnsi="仿宋" w:eastAsia="仿宋" w:cs="仿宋"/>
          <w:sz w:val="30"/>
          <w:szCs w:val="30"/>
        </w:rPr>
        <w:t>辆、主要领导干部用车</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辆、机要通信用车</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应急保障用车</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辆、执法执勤用车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、离退休干部用车</w:t>
      </w:r>
      <w:r>
        <w:rPr>
          <w:rFonts w:hint="eastAsia" w:ascii="仿宋" w:hAnsi="仿宋" w:eastAsia="仿宋" w:cs="仿宋"/>
          <w:sz w:val="30"/>
          <w:szCs w:val="30"/>
          <w:lang w:val="en-US" w:eastAsia="zh-CN"/>
        </w:rPr>
        <w:t>0辆，</w:t>
      </w:r>
      <w:r>
        <w:rPr>
          <w:rFonts w:hint="eastAsia" w:ascii="仿宋" w:hAnsi="仿宋" w:eastAsia="仿宋" w:cs="仿宋"/>
          <w:sz w:val="30"/>
          <w:szCs w:val="30"/>
        </w:rPr>
        <w:t>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单价50万元以上通用设备</w:t>
      </w:r>
      <w:r>
        <w:rPr>
          <w:rFonts w:hint="eastAsia" w:ascii="仿宋" w:hAnsi="仿宋" w:eastAsia="仿宋" w:cs="仿宋"/>
          <w:sz w:val="30"/>
          <w:szCs w:val="30"/>
          <w:lang w:val="en-US" w:eastAsia="zh-CN"/>
        </w:rPr>
        <w:t>0台</w:t>
      </w:r>
      <w:r>
        <w:rPr>
          <w:rFonts w:hint="eastAsia" w:ascii="仿宋" w:hAnsi="仿宋" w:eastAsia="仿宋" w:cs="仿宋"/>
          <w:sz w:val="30"/>
          <w:szCs w:val="30"/>
        </w:rPr>
        <w:t>(套)，单价100万元以上专用设备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2018年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2018年度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"http://baike.so.com/doc/5716834-5929560.html"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"http://baike.so.com/doc/4796448-5012566.html"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国有资产：国有资产是法律上确定为国家所有并能为国家提供经济和</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"http://baike.so.com/doc/741806-785246.html"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"http://baike.so.com/doc/7798608-8072703.html"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"http://baike.so.com/doc/5368106-5603892.html"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"http://baike.so.com/doc/5399886-5637441.html"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D75BB9F"/>
    <w:multiLevelType w:val="singleLevel"/>
    <w:tmpl w:val="5D75BB9F"/>
    <w:lvl w:ilvl="0" w:tentative="0">
      <w:start w:val="1"/>
      <w:numFmt w:val="chineseCounting"/>
      <w:suff w:val="nothing"/>
      <w:lvlText w:val="%1、"/>
      <w:lvlJc w:val="left"/>
    </w:lvl>
  </w:abstractNum>
  <w:abstractNum w:abstractNumId="4">
    <w:nsid w:val="5D7EDA3B"/>
    <w:multiLevelType w:val="singleLevel"/>
    <w:tmpl w:val="5D7EDA3B"/>
    <w:lvl w:ilvl="0" w:tentative="0">
      <w:start w:val="9"/>
      <w:numFmt w:val="chineseCounting"/>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10F87"/>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0E3E7AA2"/>
    <w:rsid w:val="0F590F37"/>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1A4C47"/>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1C35BE7"/>
    <w:rsid w:val="21E525C7"/>
    <w:rsid w:val="222608DB"/>
    <w:rsid w:val="223545A5"/>
    <w:rsid w:val="225125A5"/>
    <w:rsid w:val="22897FD1"/>
    <w:rsid w:val="229E246E"/>
    <w:rsid w:val="22B54AA2"/>
    <w:rsid w:val="22E67C9D"/>
    <w:rsid w:val="234D0F55"/>
    <w:rsid w:val="23C62C14"/>
    <w:rsid w:val="23DD5FDD"/>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CC81955"/>
    <w:rsid w:val="2D32560A"/>
    <w:rsid w:val="2D8B3C93"/>
    <w:rsid w:val="2F494622"/>
    <w:rsid w:val="2F574F68"/>
    <w:rsid w:val="2FA56B72"/>
    <w:rsid w:val="2FA8566D"/>
    <w:rsid w:val="2FF44D1F"/>
    <w:rsid w:val="301E1A57"/>
    <w:rsid w:val="305A001C"/>
    <w:rsid w:val="30D01C13"/>
    <w:rsid w:val="312D1038"/>
    <w:rsid w:val="31431466"/>
    <w:rsid w:val="3179773A"/>
    <w:rsid w:val="31B12627"/>
    <w:rsid w:val="31B14F25"/>
    <w:rsid w:val="32117BFA"/>
    <w:rsid w:val="33A52EDF"/>
    <w:rsid w:val="33B00D4E"/>
    <w:rsid w:val="33B30709"/>
    <w:rsid w:val="33D52F52"/>
    <w:rsid w:val="342D1FD0"/>
    <w:rsid w:val="347F1DF5"/>
    <w:rsid w:val="348148BB"/>
    <w:rsid w:val="349E4F95"/>
    <w:rsid w:val="34ED1E86"/>
    <w:rsid w:val="353D309D"/>
    <w:rsid w:val="354B0485"/>
    <w:rsid w:val="35813403"/>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6044B"/>
    <w:rsid w:val="419732B8"/>
    <w:rsid w:val="42BD15F0"/>
    <w:rsid w:val="42C0261B"/>
    <w:rsid w:val="43342B06"/>
    <w:rsid w:val="45114AD5"/>
    <w:rsid w:val="45400C97"/>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677476"/>
    <w:rsid w:val="4A7F6176"/>
    <w:rsid w:val="4AFD3A35"/>
    <w:rsid w:val="4B292024"/>
    <w:rsid w:val="4BC87FFD"/>
    <w:rsid w:val="4BF91344"/>
    <w:rsid w:val="4CE65541"/>
    <w:rsid w:val="4D0102BC"/>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9E03D1"/>
    <w:rsid w:val="52DA4F90"/>
    <w:rsid w:val="52E61086"/>
    <w:rsid w:val="530A248E"/>
    <w:rsid w:val="532400E8"/>
    <w:rsid w:val="534D212D"/>
    <w:rsid w:val="53DF1E0D"/>
    <w:rsid w:val="547218BE"/>
    <w:rsid w:val="5533174C"/>
    <w:rsid w:val="55750B95"/>
    <w:rsid w:val="55FD2C9C"/>
    <w:rsid w:val="56AE6DA8"/>
    <w:rsid w:val="56BF45D7"/>
    <w:rsid w:val="57744A4E"/>
    <w:rsid w:val="57E32236"/>
    <w:rsid w:val="58091D99"/>
    <w:rsid w:val="584C430A"/>
    <w:rsid w:val="58AF2417"/>
    <w:rsid w:val="58B77229"/>
    <w:rsid w:val="595C25FA"/>
    <w:rsid w:val="59857969"/>
    <w:rsid w:val="59A91E58"/>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3873E0E"/>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2F28AB"/>
    <w:rsid w:val="71B7411E"/>
    <w:rsid w:val="71D37919"/>
    <w:rsid w:val="72DE3D50"/>
    <w:rsid w:val="7366480B"/>
    <w:rsid w:val="73945713"/>
    <w:rsid w:val="7439147C"/>
    <w:rsid w:val="743B1C78"/>
    <w:rsid w:val="74492A3A"/>
    <w:rsid w:val="745E1B15"/>
    <w:rsid w:val="75157D89"/>
    <w:rsid w:val="755D0190"/>
    <w:rsid w:val="7569271E"/>
    <w:rsid w:val="75BE6124"/>
    <w:rsid w:val="75C475DB"/>
    <w:rsid w:val="75E406CC"/>
    <w:rsid w:val="76B41149"/>
    <w:rsid w:val="770254C6"/>
    <w:rsid w:val="77EC3589"/>
    <w:rsid w:val="77FD2102"/>
    <w:rsid w:val="79256D0D"/>
    <w:rsid w:val="799A1446"/>
    <w:rsid w:val="7A3A52C0"/>
    <w:rsid w:val="7AA907BA"/>
    <w:rsid w:val="7B483738"/>
    <w:rsid w:val="7C137DA5"/>
    <w:rsid w:val="7C9B09F8"/>
    <w:rsid w:val="7D2865F7"/>
    <w:rsid w:val="7D456302"/>
    <w:rsid w:val="7D5B6D22"/>
    <w:rsid w:val="7D6E19D7"/>
    <w:rsid w:val="7DC032B1"/>
    <w:rsid w:val="7ED93E6C"/>
    <w:rsid w:val="7EFE21F5"/>
    <w:rsid w:val="7F092FD3"/>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2019-09-22T07:39:09Z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